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5C603" w14:textId="77777777" w:rsidR="00DA038D" w:rsidRDefault="00DA038D" w:rsidP="00DA038D">
      <w:pPr>
        <w:keepNext/>
      </w:pPr>
      <w:r>
        <w:rPr>
          <w:noProof/>
        </w:rPr>
        <w:drawing>
          <wp:inline distT="0" distB="0" distL="0" distR="0" wp14:anchorId="660AD1C1" wp14:editId="25F14AEF">
            <wp:extent cx="8913970" cy="2174875"/>
            <wp:effectExtent l="0" t="0" r="0" b="0"/>
            <wp:docPr id="4647839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9592" cy="21762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BA96FA" w14:textId="0C0D3B57" w:rsidR="00203475" w:rsidRPr="00DA038D" w:rsidRDefault="00DA038D" w:rsidP="00DA038D">
      <w:pPr>
        <w:pStyle w:val="Caption"/>
        <w:rPr>
          <w:rFonts w:ascii="Arial" w:hAnsi="Arial" w:cs="Arial"/>
          <w:i w:val="0"/>
          <w:iCs w:val="0"/>
          <w:color w:val="000000" w:themeColor="text1"/>
          <w:sz w:val="24"/>
          <w:szCs w:val="24"/>
        </w:rPr>
      </w:pPr>
      <w:r w:rsidRPr="00DA038D">
        <w:rPr>
          <w:rFonts w:ascii="Arial" w:hAnsi="Arial" w:cs="Arial"/>
          <w:i w:val="0"/>
          <w:iCs w:val="0"/>
          <w:color w:val="000000" w:themeColor="text1"/>
          <w:sz w:val="24"/>
          <w:szCs w:val="24"/>
        </w:rPr>
        <w:t xml:space="preserve">Supplementary Figure 1. </w:t>
      </w:r>
      <w:proofErr w:type="spellStart"/>
      <w:r w:rsidRPr="00DA038D">
        <w:rPr>
          <w:rFonts w:ascii="Arial" w:hAnsi="Arial" w:cs="Arial"/>
          <w:i w:val="0"/>
          <w:iCs w:val="0"/>
          <w:color w:val="000000" w:themeColor="text1"/>
          <w:sz w:val="24"/>
          <w:szCs w:val="24"/>
        </w:rPr>
        <w:t>Barplot</w:t>
      </w:r>
      <w:proofErr w:type="spellEnd"/>
      <w:r w:rsidRPr="00DA038D">
        <w:rPr>
          <w:rFonts w:ascii="Arial" w:hAnsi="Arial" w:cs="Arial"/>
          <w:i w:val="0"/>
          <w:iCs w:val="0"/>
          <w:color w:val="000000" w:themeColor="text1"/>
          <w:sz w:val="24"/>
          <w:szCs w:val="24"/>
        </w:rPr>
        <w:t xml:space="preserve"> showing clustering results under the optimal model of K = 3 for each individual based on 3369 presumed ‘neutral’ loci i.e. total SNPs (n =</w:t>
      </w:r>
      <w:r w:rsidR="00252DC5">
        <w:rPr>
          <w:rFonts w:ascii="Arial" w:hAnsi="Arial" w:cs="Arial"/>
          <w:i w:val="0"/>
          <w:iCs w:val="0"/>
          <w:color w:val="000000" w:themeColor="text1"/>
          <w:sz w:val="24"/>
          <w:szCs w:val="24"/>
        </w:rPr>
        <w:t>3</w:t>
      </w:r>
      <w:r w:rsidRPr="00DA038D">
        <w:rPr>
          <w:rFonts w:ascii="Arial" w:hAnsi="Arial" w:cs="Arial"/>
          <w:i w:val="0"/>
          <w:iCs w:val="0"/>
          <w:color w:val="000000" w:themeColor="text1"/>
          <w:sz w:val="24"/>
          <w:szCs w:val="24"/>
        </w:rPr>
        <w:t xml:space="preserve">592) minus outlier SNPs (n = 223). </w:t>
      </w:r>
    </w:p>
    <w:sectPr w:rsidR="00203475" w:rsidRPr="00DA038D" w:rsidSect="00DA038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38D"/>
    <w:rsid w:val="0012356C"/>
    <w:rsid w:val="00203475"/>
    <w:rsid w:val="00252DC5"/>
    <w:rsid w:val="002D338C"/>
    <w:rsid w:val="00343A0D"/>
    <w:rsid w:val="0094670D"/>
    <w:rsid w:val="00DA038D"/>
    <w:rsid w:val="00F4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7D4B0"/>
  <w15:chartTrackingRefBased/>
  <w15:docId w15:val="{99209566-9FB3-485F-B4F1-C35DC9B3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03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03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03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03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03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03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03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03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03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03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03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03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03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03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03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03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03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03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03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0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03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03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03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03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03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03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03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03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038D"/>
    <w:rPr>
      <w:b/>
      <w:bCs/>
      <w:smallCaps/>
      <w:color w:val="0F4761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DA038D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Niall McKeown [njm2] (Staff)</dc:creator>
  <cp:keywords/>
  <dc:description/>
  <cp:lastModifiedBy>Niall McKeown [njm2] (Staff)</cp:lastModifiedBy>
  <cp:revision>3</cp:revision>
  <dcterms:created xsi:type="dcterms:W3CDTF">2024-12-16T09:43:00Z</dcterms:created>
  <dcterms:modified xsi:type="dcterms:W3CDTF">2024-12-27T13:17:00Z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2024-12-16T09:42:57Z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8479c0fa-881b-46c3-8396-c3bc92d957e7</vt:lpwstr>
  </property>
  <property fmtid="{D5CDD505-2E9C-101B-9397-08002B2CF9AE}" pid="8" name="MSIP_Label_f2dfecbd-fc97-4e8a-a9cd-19ed496c406e_ContentBits">
    <vt:lpwstr>0</vt:lpwstr>
  </property>
</Properties>
</file>